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CO2 Incubator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t xml:space="preserve">Model / Number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NU-5710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Manufacturer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NuAire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t xml:space="preserve">Location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Life Sciences 250E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t xml:space="preserve">Instrument Description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NuAire direct heat incubators have built-in decontamination cycles, precise temperature and CO2 controls with electronic interface for user-friendly programming. These incubators have a large 5.7 cu.ft. interior chamber size directly heated with attached elements and a closed-loop air circulation system. 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t xml:space="preserve">User Charges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Not applicable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User must obtain permission from Laboratory PI to use these incubators.  Any damage caused by the user is the responsibility of the user to repair or replace.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3100601</wp:posOffset>
            </wp:positionH>
            <wp:positionV relativeFrom="paragraph">
              <wp:posOffset>114300</wp:posOffset>
            </wp:positionV>
            <wp:extent cx="2842999" cy="43291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2999" cy="4329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ROhNXpbbN+icJGDomiJiXhJ5w==">CgMxLjA4AHIhMWZqWVpGUzZaZmxaTDEyQXItY0I1djkwcnQ4cGprSjJY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2021-11-18T20:59:00Z</dcterms:created>
  <dc:creator>Kayla Johnson</dc:creator>
</cp:coreProperties>
</file>